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58" w:lineRule="exact"/>
        <w:ind w:left="-1" w:right="-154"/>
        <w:rPr>
          <w:rFonts w:ascii="Times New Roman"/>
          <w:sz w:val="5"/>
        </w:rPr>
      </w:pPr>
      <w:r>
        <w:rPr>
          <w:rFonts w:ascii="Times New Roman"/>
          <w:position w:val="0"/>
          <w:sz w:val="5"/>
        </w:rPr>
        <w:pict>
          <v:group style="width:365.3pt;height:2.9pt;mso-position-horizontal-relative:char;mso-position-vertical-relative:line" coordorigin="0,0" coordsize="7306,58">
            <v:line style="position:absolute" from="0,29" to="7306,29" stroked="true" strokeweight="2.880005pt" strokecolor="#983620">
              <v:stroke dashstyle="solid"/>
            </v:line>
            <v:line style="position:absolute" from="106,29" to="7200,29" stroked="true" strokeweight="2.880005pt" strokecolor="#983620">
              <v:stroke dashstyle="solid"/>
            </v:line>
          </v:group>
        </w:pict>
      </w:r>
      <w:r>
        <w:rPr>
          <w:rFonts w:ascii="Times New Roman"/>
          <w:position w:val="0"/>
          <w:sz w:val="5"/>
        </w:rPr>
      </w:r>
    </w:p>
    <w:p>
      <w:pPr>
        <w:spacing w:line="240" w:lineRule="auto" w:before="38"/>
        <w:ind w:left="158" w:right="20" w:firstLine="61"/>
        <w:jc w:val="left"/>
        <w:rPr>
          <w:sz w:val="60"/>
        </w:rPr>
      </w:pPr>
      <w:r>
        <w:rPr/>
        <w:pict>
          <v:shape style="position:absolute;margin-left:402.119995pt;margin-top:-1.795859pt;width:180pt;height:.1pt;mso-position-horizontal-relative:page;mso-position-vertical-relative:paragraph;z-index:1048" coordorigin="8042,-36" coordsize="3600,0" path="m8042,-36l11642,-36m8153,-36l11537,-36e" filled="false" stroked="true" strokeweight="2.880005pt" strokecolor="#7f7f7f">
            <v:path arrowok="t"/>
            <v:stroke dashstyle="solid"/>
            <w10:wrap type="none"/>
          </v:shape>
        </w:pict>
      </w:r>
      <w:r>
        <w:rPr/>
        <w:pict>
          <v:group style="position:absolute;margin-left:23.16pt;margin-top:73.564140pt;width:559pt;height:6.75pt;mso-position-horizontal-relative:page;mso-position-vertical-relative:paragraph;z-index:1072" coordorigin="463,1471" coordsize="11180,135">
            <v:shape style="position:absolute;left:468;top:1500;width:7306;height:2" coordorigin="468,1500" coordsize="7306,0" path="m468,1500l7774,1500m574,1500l7668,1500e" filled="false" stroked="true" strokeweight="2.880005pt" strokecolor="#983620">
              <v:path arrowok="t"/>
              <v:stroke dashstyle="solid"/>
            </v:shape>
            <v:line style="position:absolute" from="463,1596" to="7735,1596" stroked="true" strokeweight=".960022pt" strokecolor="#000000">
              <v:stroke dashstyle="solid"/>
            </v:line>
            <v:rect style="position:absolute;left:7735;top:1586;width:20;height:20" filled="true" fillcolor="#000000" stroked="false">
              <v:fill type="solid"/>
            </v:rect>
            <v:line style="position:absolute" from="7754,1596" to="7970,1596" stroked="true" strokeweight=".960022pt" strokecolor="#000000">
              <v:stroke dashstyle="solid"/>
            </v:line>
            <v:shape style="position:absolute;left:8042;top:1500;width:3600;height:2" coordorigin="8042,1500" coordsize="3600,0" path="m8042,1500l11642,1500m8153,1500l11537,1500e" filled="false" stroked="true" strokeweight="2.880005pt" strokecolor="#7f7f7f">
              <v:path arrowok="t"/>
              <v:stroke dashstyle="solid"/>
            </v:shape>
            <v:rect style="position:absolute;left:7970;top:1586;width:20;height:20" filled="true" fillcolor="#000000" stroked="false">
              <v:fill type="solid"/>
            </v:rect>
            <v:line style="position:absolute" from="7990,1596" to="11638,1596" stroked="true" strokeweight=".960022pt" strokecolor="#000000">
              <v:stroke dashstyle="solid"/>
            </v:line>
            <w10:wrap type="none"/>
          </v:group>
        </w:pict>
      </w:r>
      <w:r>
        <w:rPr>
          <w:color w:val="983620"/>
          <w:sz w:val="60"/>
        </w:rPr>
        <w:t>Why should WJCC School Redistricting matter to you?</w:t>
      </w:r>
    </w:p>
    <w:p>
      <w:pPr>
        <w:spacing w:line="244" w:lineRule="auto" w:before="160"/>
        <w:ind w:left="158" w:right="0" w:firstLine="247"/>
        <w:jc w:val="left"/>
        <w:rPr>
          <w:b/>
          <w:sz w:val="55"/>
        </w:rPr>
      </w:pPr>
      <w:r>
        <w:rPr/>
        <w:br w:type="column"/>
      </w:r>
      <w:r>
        <w:rPr>
          <w:b/>
          <w:color w:val="595959"/>
          <w:sz w:val="55"/>
        </w:rPr>
        <w:t>We Need Your Help!</w:t>
      </w:r>
    </w:p>
    <w:p>
      <w:pPr>
        <w:spacing w:after="0" w:line="244" w:lineRule="auto"/>
        <w:jc w:val="left"/>
        <w:rPr>
          <w:sz w:val="55"/>
        </w:rPr>
        <w:sectPr>
          <w:type w:val="continuous"/>
          <w:pgSz w:w="12240" w:h="15840"/>
          <w:pgMar w:top="580" w:bottom="280" w:left="440" w:right="600"/>
          <w:cols w:num="2" w:equalWidth="0">
            <w:col w:w="7243" w:space="616"/>
            <w:col w:w="3341"/>
          </w:cols>
        </w:sectPr>
      </w:pPr>
    </w:p>
    <w:p>
      <w:pPr>
        <w:pStyle w:val="BodyText"/>
        <w:rPr>
          <w:b/>
          <w:sz w:val="20"/>
        </w:rPr>
      </w:pPr>
    </w:p>
    <w:p>
      <w:pPr>
        <w:pStyle w:val="BodyText"/>
        <w:spacing w:before="2"/>
        <w:rPr>
          <w:b/>
          <w:sz w:val="17"/>
        </w:rPr>
      </w:pPr>
    </w:p>
    <w:p>
      <w:pPr>
        <w:spacing w:after="0"/>
        <w:rPr>
          <w:sz w:val="17"/>
        </w:rPr>
        <w:sectPr>
          <w:type w:val="continuous"/>
          <w:pgSz w:w="12240" w:h="15840"/>
          <w:pgMar w:top="580" w:bottom="280" w:left="440" w:right="600"/>
        </w:sectPr>
      </w:pPr>
    </w:p>
    <w:p>
      <w:pPr>
        <w:pStyle w:val="Heading1"/>
        <w:spacing w:before="67"/>
      </w:pPr>
      <w:r>
        <w:rPr>
          <w:color w:val="983620"/>
        </w:rPr>
        <w:t>What is school redistricting?</w:t>
      </w:r>
    </w:p>
    <w:p>
      <w:pPr>
        <w:pStyle w:val="BodyText"/>
        <w:spacing w:line="252" w:lineRule="auto" w:before="160"/>
        <w:ind w:left="133"/>
      </w:pPr>
      <w:r>
        <w:rPr>
          <w:w w:val="105"/>
        </w:rPr>
        <w:t>The WJCC School Board is redistricting the middle schools and possibly the high schools. This means they are redrawing the boundaries for school attendance zones to determine which students go to which school.</w:t>
      </w:r>
    </w:p>
    <w:p>
      <w:pPr>
        <w:pStyle w:val="BodyText"/>
        <w:spacing w:before="9"/>
        <w:rPr>
          <w:sz w:val="27"/>
        </w:rPr>
      </w:pPr>
    </w:p>
    <w:p>
      <w:pPr>
        <w:pStyle w:val="Heading1"/>
      </w:pPr>
      <w:r>
        <w:rPr>
          <w:color w:val="983620"/>
        </w:rPr>
        <w:t>Why does school redistricting matter for ALL students?</w:t>
      </w:r>
    </w:p>
    <w:p>
      <w:pPr>
        <w:pStyle w:val="BodyText"/>
        <w:spacing w:before="10"/>
        <w:rPr>
          <w:b/>
          <w:sz w:val="30"/>
        </w:rPr>
      </w:pPr>
    </w:p>
    <w:p>
      <w:pPr>
        <w:spacing w:line="264" w:lineRule="auto" w:before="0"/>
        <w:ind w:left="133" w:right="-7" w:firstLine="0"/>
        <w:jc w:val="left"/>
        <w:rPr>
          <w:sz w:val="19"/>
        </w:rPr>
      </w:pPr>
      <w:r>
        <w:rPr>
          <w:b/>
          <w:w w:val="105"/>
          <w:sz w:val="24"/>
        </w:rPr>
        <w:t>Diversity </w:t>
      </w:r>
      <w:r>
        <w:rPr>
          <w:b/>
          <w:w w:val="105"/>
          <w:sz w:val="19"/>
        </w:rPr>
        <w:t>- </w:t>
      </w:r>
      <w:r>
        <w:rPr>
          <w:w w:val="105"/>
          <w:sz w:val="19"/>
        </w:rPr>
        <w:t>Redistricting influences the </w:t>
      </w:r>
      <w:r>
        <w:rPr>
          <w:b/>
          <w:w w:val="105"/>
          <w:sz w:val="19"/>
        </w:rPr>
        <w:t>diversity </w:t>
      </w:r>
      <w:r>
        <w:rPr>
          <w:w w:val="105"/>
          <w:sz w:val="19"/>
        </w:rPr>
        <w:t>of schools by deciding who goes where.</w:t>
      </w:r>
    </w:p>
    <w:p>
      <w:pPr>
        <w:pStyle w:val="ListParagraph"/>
        <w:numPr>
          <w:ilvl w:val="0"/>
          <w:numId w:val="1"/>
        </w:numPr>
        <w:tabs>
          <w:tab w:pos="853" w:val="left" w:leader="none"/>
          <w:tab w:pos="854" w:val="left" w:leader="none"/>
        </w:tabs>
        <w:spacing w:line="224" w:lineRule="exact" w:before="0" w:after="0"/>
        <w:ind w:left="853" w:right="0" w:hanging="360"/>
        <w:jc w:val="left"/>
        <w:rPr>
          <w:rFonts w:ascii="Symbol"/>
          <w:sz w:val="19"/>
        </w:rPr>
      </w:pPr>
      <w:r>
        <w:rPr>
          <w:w w:val="105"/>
          <w:sz w:val="19"/>
        </w:rPr>
        <w:t>Williamsburg-James City County is a diverse</w:t>
      </w:r>
      <w:r>
        <w:rPr>
          <w:spacing w:val="2"/>
          <w:w w:val="105"/>
          <w:sz w:val="19"/>
        </w:rPr>
        <w:t> </w:t>
      </w:r>
      <w:r>
        <w:rPr>
          <w:w w:val="105"/>
          <w:sz w:val="19"/>
        </w:rPr>
        <w:t>community.</w:t>
      </w:r>
    </w:p>
    <w:p>
      <w:pPr>
        <w:pStyle w:val="ListParagraph"/>
        <w:numPr>
          <w:ilvl w:val="0"/>
          <w:numId w:val="1"/>
        </w:numPr>
        <w:tabs>
          <w:tab w:pos="853" w:val="left" w:leader="none"/>
          <w:tab w:pos="854" w:val="left" w:leader="none"/>
        </w:tabs>
        <w:spacing w:line="252" w:lineRule="auto" w:before="15" w:after="0"/>
        <w:ind w:left="853" w:right="38" w:hanging="360"/>
        <w:jc w:val="left"/>
        <w:rPr>
          <w:rFonts w:ascii="Symbol"/>
          <w:b/>
          <w:sz w:val="19"/>
        </w:rPr>
      </w:pPr>
      <w:r>
        <w:rPr>
          <w:w w:val="105"/>
          <w:sz w:val="19"/>
        </w:rPr>
        <w:t>Research shows that learning to cooperate with people who are different from you is important for </w:t>
      </w:r>
      <w:r>
        <w:rPr>
          <w:b/>
          <w:w w:val="105"/>
          <w:sz w:val="19"/>
          <w:u w:val="single"/>
        </w:rPr>
        <w:t>academic achievement, reducing prejudice, and fostering civic</w:t>
      </w:r>
      <w:r>
        <w:rPr>
          <w:b/>
          <w:spacing w:val="0"/>
          <w:w w:val="105"/>
          <w:sz w:val="19"/>
          <w:u w:val="single"/>
        </w:rPr>
        <w:t> </w:t>
      </w:r>
      <w:r>
        <w:rPr>
          <w:b/>
          <w:w w:val="105"/>
          <w:sz w:val="19"/>
          <w:u w:val="single"/>
        </w:rPr>
        <w:t>engagement.</w:t>
      </w:r>
    </w:p>
    <w:p>
      <w:pPr>
        <w:pStyle w:val="ListParagraph"/>
        <w:numPr>
          <w:ilvl w:val="0"/>
          <w:numId w:val="1"/>
        </w:numPr>
        <w:tabs>
          <w:tab w:pos="853" w:val="left" w:leader="none"/>
          <w:tab w:pos="854" w:val="left" w:leader="none"/>
        </w:tabs>
        <w:spacing w:line="240" w:lineRule="auto" w:before="17" w:after="0"/>
        <w:ind w:left="853" w:right="0" w:hanging="360"/>
        <w:jc w:val="left"/>
        <w:rPr>
          <w:rFonts w:ascii="Symbol"/>
          <w:sz w:val="19"/>
        </w:rPr>
      </w:pPr>
      <w:r>
        <w:rPr>
          <w:w w:val="105"/>
          <w:sz w:val="19"/>
        </w:rPr>
        <w:t>But, </w:t>
      </w:r>
      <w:r>
        <w:rPr>
          <w:b/>
          <w:w w:val="105"/>
          <w:sz w:val="19"/>
        </w:rPr>
        <w:t>some of our schools are more diverse than</w:t>
      </w:r>
      <w:r>
        <w:rPr>
          <w:b/>
          <w:spacing w:val="1"/>
          <w:w w:val="105"/>
          <w:sz w:val="19"/>
        </w:rPr>
        <w:t> </w:t>
      </w:r>
      <w:r>
        <w:rPr>
          <w:b/>
          <w:w w:val="105"/>
          <w:sz w:val="19"/>
        </w:rPr>
        <w:t>others</w:t>
      </w:r>
      <w:r>
        <w:rPr>
          <w:w w:val="105"/>
          <w:sz w:val="19"/>
        </w:rPr>
        <w:t>:</w:t>
      </w:r>
    </w:p>
    <w:p>
      <w:pPr>
        <w:pStyle w:val="BodyText"/>
        <w:spacing w:before="4" w:after="1"/>
        <w:rPr>
          <w:sz w:val="22"/>
        </w:rPr>
      </w:pPr>
    </w:p>
    <w:tbl>
      <w:tblPr>
        <w:tblW w:w="0" w:type="auto"/>
        <w:jc w:val="left"/>
        <w:tblInd w:w="1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27"/>
        <w:gridCol w:w="1561"/>
        <w:gridCol w:w="1590"/>
        <w:gridCol w:w="2004"/>
      </w:tblGrid>
      <w:tr>
        <w:trPr>
          <w:trHeight w:val="234" w:hRule="atLeast"/>
        </w:trPr>
        <w:tc>
          <w:tcPr>
            <w:tcW w:w="1527" w:type="dxa"/>
            <w:tcBorders>
              <w:top w:val="single" w:sz="8" w:space="0" w:color="000000"/>
              <w:bottom w:val="single" w:sz="8" w:space="0" w:color="000000"/>
            </w:tcBorders>
          </w:tcPr>
          <w:p>
            <w:pPr>
              <w:pStyle w:val="TableParagraph"/>
              <w:spacing w:line="240" w:lineRule="auto" w:before="0"/>
              <w:ind w:left="0"/>
              <w:rPr>
                <w:rFonts w:ascii="Times New Roman"/>
                <w:sz w:val="16"/>
              </w:rPr>
            </w:pPr>
          </w:p>
        </w:tc>
        <w:tc>
          <w:tcPr>
            <w:tcW w:w="1561" w:type="dxa"/>
            <w:tcBorders>
              <w:top w:val="single" w:sz="8" w:space="0" w:color="000000"/>
              <w:bottom w:val="single" w:sz="8" w:space="0" w:color="000000"/>
            </w:tcBorders>
          </w:tcPr>
          <w:p>
            <w:pPr>
              <w:pStyle w:val="TableParagraph"/>
              <w:spacing w:line="203" w:lineRule="exact" w:before="11"/>
              <w:rPr>
                <w:sz w:val="19"/>
              </w:rPr>
            </w:pPr>
            <w:r>
              <w:rPr>
                <w:w w:val="105"/>
                <w:sz w:val="19"/>
              </w:rPr>
              <w:t>Jamestown</w:t>
            </w:r>
          </w:p>
        </w:tc>
        <w:tc>
          <w:tcPr>
            <w:tcW w:w="1590" w:type="dxa"/>
            <w:tcBorders>
              <w:top w:val="single" w:sz="8" w:space="0" w:color="000000"/>
              <w:bottom w:val="single" w:sz="8" w:space="0" w:color="000000"/>
            </w:tcBorders>
          </w:tcPr>
          <w:p>
            <w:pPr>
              <w:pStyle w:val="TableParagraph"/>
              <w:spacing w:line="203" w:lineRule="exact" w:before="11"/>
              <w:ind w:left="358"/>
              <w:rPr>
                <w:sz w:val="19"/>
              </w:rPr>
            </w:pPr>
            <w:r>
              <w:rPr>
                <w:w w:val="105"/>
                <w:sz w:val="19"/>
              </w:rPr>
              <w:t>Lafayette</w:t>
            </w:r>
          </w:p>
        </w:tc>
        <w:tc>
          <w:tcPr>
            <w:tcW w:w="2004" w:type="dxa"/>
            <w:tcBorders>
              <w:top w:val="single" w:sz="8" w:space="0" w:color="000000"/>
              <w:bottom w:val="single" w:sz="8" w:space="0" w:color="000000"/>
            </w:tcBorders>
          </w:tcPr>
          <w:p>
            <w:pPr>
              <w:pStyle w:val="TableParagraph"/>
              <w:spacing w:line="203" w:lineRule="exact" w:before="11"/>
              <w:ind w:left="438"/>
              <w:rPr>
                <w:sz w:val="19"/>
              </w:rPr>
            </w:pPr>
            <w:r>
              <w:rPr>
                <w:w w:val="105"/>
                <w:sz w:val="19"/>
              </w:rPr>
              <w:t>Warhill</w:t>
            </w:r>
          </w:p>
        </w:tc>
      </w:tr>
      <w:tr>
        <w:trPr>
          <w:trHeight w:val="229" w:hRule="atLeast"/>
        </w:trPr>
        <w:tc>
          <w:tcPr>
            <w:tcW w:w="1527" w:type="dxa"/>
            <w:tcBorders>
              <w:top w:val="single" w:sz="8" w:space="0" w:color="000000"/>
            </w:tcBorders>
            <w:shd w:val="clear" w:color="auto" w:fill="C0C0C0"/>
          </w:tcPr>
          <w:p>
            <w:pPr>
              <w:pStyle w:val="TableParagraph"/>
              <w:ind w:left="105"/>
              <w:rPr>
                <w:sz w:val="19"/>
              </w:rPr>
            </w:pPr>
            <w:r>
              <w:rPr>
                <w:w w:val="105"/>
                <w:sz w:val="19"/>
              </w:rPr>
              <w:t>White</w:t>
            </w:r>
          </w:p>
        </w:tc>
        <w:tc>
          <w:tcPr>
            <w:tcW w:w="1561" w:type="dxa"/>
            <w:tcBorders>
              <w:top w:val="single" w:sz="8" w:space="0" w:color="000000"/>
            </w:tcBorders>
            <w:shd w:val="clear" w:color="auto" w:fill="C0C0C0"/>
          </w:tcPr>
          <w:p>
            <w:pPr>
              <w:pStyle w:val="TableParagraph"/>
              <w:rPr>
                <w:sz w:val="19"/>
              </w:rPr>
            </w:pPr>
            <w:r>
              <w:rPr>
                <w:w w:val="105"/>
                <w:sz w:val="19"/>
              </w:rPr>
              <w:t>74.5%</w:t>
            </w:r>
          </w:p>
        </w:tc>
        <w:tc>
          <w:tcPr>
            <w:tcW w:w="1590" w:type="dxa"/>
            <w:tcBorders>
              <w:top w:val="single" w:sz="8" w:space="0" w:color="000000"/>
            </w:tcBorders>
            <w:shd w:val="clear" w:color="auto" w:fill="C0C0C0"/>
          </w:tcPr>
          <w:p>
            <w:pPr>
              <w:pStyle w:val="TableParagraph"/>
              <w:ind w:left="358"/>
              <w:rPr>
                <w:sz w:val="19"/>
              </w:rPr>
            </w:pPr>
            <w:r>
              <w:rPr>
                <w:w w:val="105"/>
                <w:sz w:val="19"/>
              </w:rPr>
              <w:t>55.7%</w:t>
            </w:r>
          </w:p>
        </w:tc>
        <w:tc>
          <w:tcPr>
            <w:tcW w:w="2004" w:type="dxa"/>
            <w:tcBorders>
              <w:top w:val="single" w:sz="8" w:space="0" w:color="000000"/>
            </w:tcBorders>
            <w:shd w:val="clear" w:color="auto" w:fill="C0C0C0"/>
          </w:tcPr>
          <w:p>
            <w:pPr>
              <w:pStyle w:val="TableParagraph"/>
              <w:ind w:left="438"/>
              <w:rPr>
                <w:sz w:val="19"/>
              </w:rPr>
            </w:pPr>
            <w:r>
              <w:rPr>
                <w:w w:val="105"/>
                <w:sz w:val="19"/>
              </w:rPr>
              <w:t>64.7%</w:t>
            </w:r>
          </w:p>
        </w:tc>
      </w:tr>
      <w:tr>
        <w:trPr>
          <w:trHeight w:val="230" w:hRule="atLeast"/>
        </w:trPr>
        <w:tc>
          <w:tcPr>
            <w:tcW w:w="1527" w:type="dxa"/>
          </w:tcPr>
          <w:p>
            <w:pPr>
              <w:pStyle w:val="TableParagraph"/>
              <w:ind w:left="105"/>
              <w:rPr>
                <w:sz w:val="19"/>
              </w:rPr>
            </w:pPr>
            <w:r>
              <w:rPr>
                <w:w w:val="105"/>
                <w:sz w:val="19"/>
              </w:rPr>
              <w:t>Black</w:t>
            </w:r>
          </w:p>
        </w:tc>
        <w:tc>
          <w:tcPr>
            <w:tcW w:w="1561" w:type="dxa"/>
          </w:tcPr>
          <w:p>
            <w:pPr>
              <w:pStyle w:val="TableParagraph"/>
              <w:rPr>
                <w:sz w:val="19"/>
              </w:rPr>
            </w:pPr>
            <w:r>
              <w:rPr>
                <w:w w:val="105"/>
                <w:sz w:val="19"/>
              </w:rPr>
              <w:t>10.7%</w:t>
            </w:r>
          </w:p>
        </w:tc>
        <w:tc>
          <w:tcPr>
            <w:tcW w:w="1590" w:type="dxa"/>
          </w:tcPr>
          <w:p>
            <w:pPr>
              <w:pStyle w:val="TableParagraph"/>
              <w:ind w:left="358"/>
              <w:rPr>
                <w:sz w:val="19"/>
              </w:rPr>
            </w:pPr>
            <w:r>
              <w:rPr>
                <w:w w:val="105"/>
                <w:sz w:val="19"/>
              </w:rPr>
              <w:t>24.6%</w:t>
            </w:r>
          </w:p>
        </w:tc>
        <w:tc>
          <w:tcPr>
            <w:tcW w:w="2004" w:type="dxa"/>
          </w:tcPr>
          <w:p>
            <w:pPr>
              <w:pStyle w:val="TableParagraph"/>
              <w:ind w:left="438"/>
              <w:rPr>
                <w:sz w:val="19"/>
              </w:rPr>
            </w:pPr>
            <w:r>
              <w:rPr>
                <w:w w:val="105"/>
                <w:sz w:val="19"/>
              </w:rPr>
              <w:t>19.8%</w:t>
            </w:r>
          </w:p>
        </w:tc>
      </w:tr>
      <w:tr>
        <w:trPr>
          <w:trHeight w:val="230" w:hRule="atLeast"/>
        </w:trPr>
        <w:tc>
          <w:tcPr>
            <w:tcW w:w="1527" w:type="dxa"/>
            <w:shd w:val="clear" w:color="auto" w:fill="C0C0C0"/>
          </w:tcPr>
          <w:p>
            <w:pPr>
              <w:pStyle w:val="TableParagraph"/>
              <w:ind w:left="105"/>
              <w:rPr>
                <w:sz w:val="19"/>
              </w:rPr>
            </w:pPr>
            <w:r>
              <w:rPr>
                <w:w w:val="105"/>
                <w:sz w:val="19"/>
              </w:rPr>
              <w:t>Hispanic</w:t>
            </w:r>
          </w:p>
        </w:tc>
        <w:tc>
          <w:tcPr>
            <w:tcW w:w="1561" w:type="dxa"/>
            <w:shd w:val="clear" w:color="auto" w:fill="C0C0C0"/>
          </w:tcPr>
          <w:p>
            <w:pPr>
              <w:pStyle w:val="TableParagraph"/>
              <w:rPr>
                <w:sz w:val="19"/>
              </w:rPr>
            </w:pPr>
            <w:r>
              <w:rPr>
                <w:w w:val="105"/>
                <w:sz w:val="19"/>
              </w:rPr>
              <w:t>8%</w:t>
            </w:r>
          </w:p>
        </w:tc>
        <w:tc>
          <w:tcPr>
            <w:tcW w:w="1590" w:type="dxa"/>
            <w:shd w:val="clear" w:color="auto" w:fill="C0C0C0"/>
          </w:tcPr>
          <w:p>
            <w:pPr>
              <w:pStyle w:val="TableParagraph"/>
              <w:ind w:left="358"/>
              <w:rPr>
                <w:sz w:val="19"/>
              </w:rPr>
            </w:pPr>
            <w:r>
              <w:rPr>
                <w:w w:val="105"/>
                <w:sz w:val="19"/>
              </w:rPr>
              <w:t>9.9%</w:t>
            </w:r>
          </w:p>
        </w:tc>
        <w:tc>
          <w:tcPr>
            <w:tcW w:w="2004" w:type="dxa"/>
            <w:shd w:val="clear" w:color="auto" w:fill="C0C0C0"/>
          </w:tcPr>
          <w:p>
            <w:pPr>
              <w:pStyle w:val="TableParagraph"/>
              <w:ind w:left="438"/>
              <w:rPr>
                <w:sz w:val="19"/>
              </w:rPr>
            </w:pPr>
            <w:r>
              <w:rPr>
                <w:w w:val="105"/>
                <w:sz w:val="19"/>
              </w:rPr>
              <w:t>6.8%</w:t>
            </w:r>
          </w:p>
        </w:tc>
      </w:tr>
      <w:tr>
        <w:trPr>
          <w:trHeight w:val="227" w:hRule="atLeast"/>
        </w:trPr>
        <w:tc>
          <w:tcPr>
            <w:tcW w:w="1527" w:type="dxa"/>
          </w:tcPr>
          <w:p>
            <w:pPr>
              <w:pStyle w:val="TableParagraph"/>
              <w:spacing w:line="201" w:lineRule="exact"/>
              <w:ind w:left="105"/>
              <w:rPr>
                <w:sz w:val="19"/>
              </w:rPr>
            </w:pPr>
            <w:r>
              <w:rPr>
                <w:w w:val="105"/>
                <w:sz w:val="19"/>
              </w:rPr>
              <w:t>Economically</w:t>
            </w:r>
          </w:p>
        </w:tc>
        <w:tc>
          <w:tcPr>
            <w:tcW w:w="1561" w:type="dxa"/>
          </w:tcPr>
          <w:p>
            <w:pPr>
              <w:pStyle w:val="TableParagraph"/>
              <w:spacing w:line="201" w:lineRule="exact"/>
              <w:rPr>
                <w:sz w:val="19"/>
              </w:rPr>
            </w:pPr>
            <w:r>
              <w:rPr>
                <w:w w:val="105"/>
                <w:sz w:val="19"/>
              </w:rPr>
              <w:t>19%</w:t>
            </w:r>
          </w:p>
        </w:tc>
        <w:tc>
          <w:tcPr>
            <w:tcW w:w="1590" w:type="dxa"/>
          </w:tcPr>
          <w:p>
            <w:pPr>
              <w:pStyle w:val="TableParagraph"/>
              <w:spacing w:line="201" w:lineRule="exact"/>
              <w:ind w:left="358"/>
              <w:rPr>
                <w:sz w:val="19"/>
              </w:rPr>
            </w:pPr>
            <w:r>
              <w:rPr>
                <w:w w:val="105"/>
                <w:sz w:val="19"/>
              </w:rPr>
              <w:t>35.6%</w:t>
            </w:r>
          </w:p>
        </w:tc>
        <w:tc>
          <w:tcPr>
            <w:tcW w:w="2004" w:type="dxa"/>
          </w:tcPr>
          <w:p>
            <w:pPr>
              <w:pStyle w:val="TableParagraph"/>
              <w:spacing w:line="201" w:lineRule="exact"/>
              <w:ind w:left="438"/>
              <w:rPr>
                <w:sz w:val="19"/>
              </w:rPr>
            </w:pPr>
            <w:r>
              <w:rPr>
                <w:w w:val="105"/>
                <w:sz w:val="19"/>
              </w:rPr>
              <w:t>29.1%</w:t>
            </w:r>
          </w:p>
        </w:tc>
      </w:tr>
    </w:tbl>
    <w:p>
      <w:pPr>
        <w:pStyle w:val="BodyText"/>
        <w:tabs>
          <w:tab w:pos="6815" w:val="left" w:leader="none"/>
        </w:tabs>
        <w:spacing w:before="9"/>
        <w:ind w:left="119"/>
      </w:pPr>
      <w:r>
        <w:rPr>
          <w:w w:val="103"/>
          <w:u w:val="single"/>
        </w:rPr>
        <w:t> </w:t>
      </w:r>
      <w:r>
        <w:rPr>
          <w:spacing w:val="20"/>
          <w:u w:val="single"/>
        </w:rPr>
        <w:t> </w:t>
      </w:r>
      <w:r>
        <w:rPr>
          <w:w w:val="105"/>
          <w:u w:val="single"/>
        </w:rPr>
        <w:t>disadvantaged</w:t>
      </w:r>
      <w:r>
        <w:rPr>
          <w:u w:val="single"/>
        </w:rPr>
        <w:tab/>
      </w:r>
    </w:p>
    <w:p>
      <w:pPr>
        <w:pStyle w:val="BodyText"/>
        <w:rPr>
          <w:sz w:val="22"/>
        </w:rPr>
      </w:pPr>
    </w:p>
    <w:p>
      <w:pPr>
        <w:pStyle w:val="BodyText"/>
        <w:spacing w:before="10"/>
        <w:rPr>
          <w:sz w:val="18"/>
        </w:rPr>
      </w:pPr>
    </w:p>
    <w:p>
      <w:pPr>
        <w:pStyle w:val="BodyText"/>
        <w:spacing w:line="264" w:lineRule="auto"/>
        <w:ind w:left="133"/>
      </w:pPr>
      <w:r>
        <w:rPr>
          <w:b/>
          <w:w w:val="105"/>
          <w:sz w:val="24"/>
        </w:rPr>
        <w:t>Equity </w:t>
      </w:r>
      <w:r>
        <w:rPr>
          <w:b/>
          <w:w w:val="105"/>
        </w:rPr>
        <w:t>- </w:t>
      </w:r>
      <w:r>
        <w:rPr>
          <w:w w:val="105"/>
        </w:rPr>
        <w:t>Redistricting influences </w:t>
      </w:r>
      <w:r>
        <w:rPr>
          <w:b/>
          <w:w w:val="105"/>
        </w:rPr>
        <w:t>equity </w:t>
      </w:r>
      <w:r>
        <w:rPr>
          <w:w w:val="105"/>
        </w:rPr>
        <w:t>across schools by determining what resources are available at each school.</w:t>
      </w:r>
    </w:p>
    <w:p>
      <w:pPr>
        <w:pStyle w:val="ListParagraph"/>
        <w:numPr>
          <w:ilvl w:val="0"/>
          <w:numId w:val="1"/>
        </w:numPr>
        <w:tabs>
          <w:tab w:pos="853" w:val="left" w:leader="none"/>
          <w:tab w:pos="854" w:val="left" w:leader="none"/>
        </w:tabs>
        <w:spacing w:line="259" w:lineRule="auto" w:before="0" w:after="0"/>
        <w:ind w:left="853" w:right="219" w:hanging="360"/>
        <w:jc w:val="left"/>
        <w:rPr>
          <w:rFonts w:ascii="Symbol"/>
          <w:sz w:val="19"/>
        </w:rPr>
      </w:pPr>
      <w:r>
        <w:rPr>
          <w:w w:val="105"/>
          <w:sz w:val="19"/>
        </w:rPr>
        <w:t>There are </w:t>
      </w:r>
      <w:r>
        <w:rPr>
          <w:b/>
          <w:w w:val="105"/>
          <w:sz w:val="19"/>
        </w:rPr>
        <w:t>double-digit achievement gaps </w:t>
      </w:r>
      <w:r>
        <w:rPr>
          <w:w w:val="105"/>
          <w:sz w:val="19"/>
        </w:rPr>
        <w:t>between white students and black students and between economically advantaged and disadvantaged students in</w:t>
      </w:r>
      <w:r>
        <w:rPr>
          <w:spacing w:val="1"/>
          <w:w w:val="105"/>
          <w:sz w:val="19"/>
        </w:rPr>
        <w:t> </w:t>
      </w:r>
      <w:r>
        <w:rPr>
          <w:w w:val="105"/>
          <w:sz w:val="19"/>
        </w:rPr>
        <w:t>WJCC.</w:t>
      </w:r>
    </w:p>
    <w:p>
      <w:pPr>
        <w:pStyle w:val="ListParagraph"/>
        <w:numPr>
          <w:ilvl w:val="0"/>
          <w:numId w:val="1"/>
        </w:numPr>
        <w:tabs>
          <w:tab w:pos="853" w:val="left" w:leader="none"/>
          <w:tab w:pos="854" w:val="left" w:leader="none"/>
        </w:tabs>
        <w:spacing w:line="254" w:lineRule="auto" w:before="0" w:after="0"/>
        <w:ind w:left="853" w:right="620" w:hanging="360"/>
        <w:jc w:val="left"/>
        <w:rPr>
          <w:rFonts w:ascii="Symbol"/>
          <w:b/>
          <w:sz w:val="19"/>
        </w:rPr>
      </w:pPr>
      <w:r>
        <w:rPr>
          <w:w w:val="105"/>
          <w:sz w:val="19"/>
        </w:rPr>
        <w:t>Students who need more resources to succeed are concentrated at Lafayette and Warhill but </w:t>
      </w:r>
      <w:r>
        <w:rPr>
          <w:b/>
          <w:w w:val="105"/>
          <w:sz w:val="19"/>
        </w:rPr>
        <w:t>school funding is based on NUMBER of students at each school, NOT on student</w:t>
      </w:r>
      <w:r>
        <w:rPr>
          <w:b/>
          <w:spacing w:val="2"/>
          <w:w w:val="105"/>
          <w:sz w:val="19"/>
        </w:rPr>
        <w:t> </w:t>
      </w:r>
      <w:r>
        <w:rPr>
          <w:b/>
          <w:w w:val="105"/>
          <w:sz w:val="19"/>
        </w:rPr>
        <w:t>needs.</w:t>
      </w:r>
    </w:p>
    <w:p>
      <w:pPr>
        <w:pStyle w:val="ListParagraph"/>
        <w:numPr>
          <w:ilvl w:val="0"/>
          <w:numId w:val="1"/>
        </w:numPr>
        <w:tabs>
          <w:tab w:pos="853" w:val="left" w:leader="none"/>
          <w:tab w:pos="854" w:val="left" w:leader="none"/>
        </w:tabs>
        <w:spacing w:line="252" w:lineRule="auto" w:before="0" w:after="0"/>
        <w:ind w:left="853" w:right="168" w:hanging="360"/>
        <w:jc w:val="left"/>
        <w:rPr>
          <w:rFonts w:ascii="Symbol"/>
          <w:sz w:val="19"/>
        </w:rPr>
      </w:pPr>
      <w:r>
        <w:rPr>
          <w:w w:val="105"/>
          <w:sz w:val="19"/>
        </w:rPr>
        <w:t>Schools like Jamestown with a higher percentage of affluent families benefit from teachers with higher expectations for student learning and parents with more time, resources, and political clout to demand rigorous classes and raise funds for additional</w:t>
      </w:r>
      <w:r>
        <w:rPr>
          <w:spacing w:val="1"/>
          <w:w w:val="105"/>
          <w:sz w:val="19"/>
        </w:rPr>
        <w:t> </w:t>
      </w:r>
      <w:r>
        <w:rPr>
          <w:w w:val="105"/>
          <w:sz w:val="19"/>
        </w:rPr>
        <w:t>programming.</w:t>
      </w:r>
    </w:p>
    <w:p>
      <w:pPr>
        <w:pStyle w:val="ListParagraph"/>
        <w:numPr>
          <w:ilvl w:val="0"/>
          <w:numId w:val="1"/>
        </w:numPr>
        <w:tabs>
          <w:tab w:pos="853" w:val="left" w:leader="none"/>
          <w:tab w:pos="854" w:val="left" w:leader="none"/>
        </w:tabs>
        <w:spacing w:line="259" w:lineRule="auto" w:before="0" w:after="0"/>
        <w:ind w:left="853" w:right="54" w:hanging="360"/>
        <w:jc w:val="left"/>
        <w:rPr>
          <w:rFonts w:ascii="Symbol" w:hAnsi="Symbol"/>
          <w:sz w:val="24"/>
        </w:rPr>
      </w:pPr>
      <w:r>
        <w:rPr>
          <w:w w:val="105"/>
          <w:sz w:val="19"/>
        </w:rPr>
        <w:t>For example, Jamestown currently offers </w:t>
      </w:r>
      <w:r>
        <w:rPr>
          <w:b/>
          <w:w w:val="105"/>
          <w:sz w:val="19"/>
        </w:rPr>
        <w:t>more Advanced Placement (AP) classes </w:t>
      </w:r>
      <w:r>
        <w:rPr>
          <w:w w:val="105"/>
          <w:sz w:val="19"/>
        </w:rPr>
        <w:t>than the other two high schools, and Jamestown students take </w:t>
      </w:r>
      <w:r>
        <w:rPr>
          <w:b/>
          <w:w w:val="105"/>
          <w:sz w:val="19"/>
        </w:rPr>
        <w:t>double to triple </w:t>
      </w:r>
      <w:r>
        <w:rPr>
          <w:w w:val="105"/>
          <w:sz w:val="19"/>
        </w:rPr>
        <w:t>the number of Advanced Placement (AP) exams. Lafayette and Warhill students don’t get these same opportunities at their schools.</w:t>
      </w:r>
    </w:p>
    <w:p>
      <w:pPr>
        <w:spacing w:before="192"/>
        <w:ind w:left="133" w:right="0" w:firstLine="0"/>
        <w:jc w:val="left"/>
        <w:rPr>
          <w:b/>
          <w:sz w:val="24"/>
        </w:rPr>
      </w:pPr>
      <w:r>
        <w:rPr>
          <w:b/>
          <w:sz w:val="24"/>
        </w:rPr>
        <w:t>As the WJCC School Board redistricts our schools:</w:t>
      </w:r>
    </w:p>
    <w:p>
      <w:pPr>
        <w:pStyle w:val="ListParagraph"/>
        <w:numPr>
          <w:ilvl w:val="0"/>
          <w:numId w:val="1"/>
        </w:numPr>
        <w:tabs>
          <w:tab w:pos="910" w:val="left" w:leader="none"/>
          <w:tab w:pos="911" w:val="left" w:leader="none"/>
        </w:tabs>
        <w:spacing w:line="240" w:lineRule="auto" w:before="21" w:after="0"/>
        <w:ind w:left="910" w:right="256" w:hanging="360"/>
        <w:jc w:val="left"/>
        <w:rPr>
          <w:rFonts w:ascii="Symbol"/>
          <w:b/>
          <w:sz w:val="24"/>
        </w:rPr>
      </w:pPr>
      <w:r>
        <w:rPr/>
        <w:pict>
          <v:group style="position:absolute;margin-left:22.440001pt;margin-top:57.274429pt;width:559.450pt;height:1pt;mso-position-horizontal-relative:page;mso-position-vertical-relative:paragraph;z-index:1096" coordorigin="449,1145" coordsize="11189,20">
            <v:line style="position:absolute" from="449,1155" to="7735,1155" stroked="true" strokeweight=".959999pt" strokecolor="#000000">
              <v:stroke dashstyle="solid"/>
            </v:line>
            <v:rect style="position:absolute;left:7720;top:1145;width:20;height:20" filled="true" fillcolor="#000000" stroked="false">
              <v:fill type="solid"/>
            </v:rect>
            <v:line style="position:absolute" from="7740,1155" to="7970,1155" stroked="true" strokeweight=".959999pt" strokecolor="#000000">
              <v:stroke dashstyle="solid"/>
            </v:line>
            <v:rect style="position:absolute;left:7956;top:1145;width:20;height:20" filled="true" fillcolor="#000000" stroked="false">
              <v:fill type="solid"/>
            </v:rect>
            <v:line style="position:absolute" from="7975,1155" to="11638,1155" stroked="true" strokeweight=".959999pt" strokecolor="#000000">
              <v:stroke dashstyle="solid"/>
            </v:line>
            <w10:wrap type="none"/>
          </v:group>
        </w:pict>
      </w:r>
      <w:r>
        <w:rPr>
          <w:b/>
          <w:sz w:val="24"/>
        </w:rPr>
        <w:t>Each school should reflect the diversity of our community as a whole to create </w:t>
      </w:r>
      <w:r>
        <w:rPr>
          <w:b/>
          <w:sz w:val="24"/>
          <w:u w:val="single"/>
        </w:rPr>
        <w:t>greater equity</w:t>
      </w:r>
      <w:r>
        <w:rPr>
          <w:b/>
          <w:sz w:val="24"/>
        </w:rPr>
        <w:t>, reduce prejudice, and ensure the success of ALL of our</w:t>
      </w:r>
      <w:r>
        <w:rPr>
          <w:b/>
          <w:spacing w:val="-3"/>
          <w:sz w:val="24"/>
        </w:rPr>
        <w:t> </w:t>
      </w:r>
      <w:r>
        <w:rPr>
          <w:b/>
          <w:sz w:val="24"/>
        </w:rPr>
        <w:t>students.</w:t>
      </w:r>
    </w:p>
    <w:p>
      <w:pPr>
        <w:spacing w:line="240" w:lineRule="auto" w:before="99"/>
        <w:ind w:left="119" w:right="116" w:firstLine="0"/>
        <w:jc w:val="left"/>
        <w:rPr>
          <w:sz w:val="26"/>
        </w:rPr>
      </w:pPr>
      <w:r>
        <w:rPr/>
        <w:br w:type="column"/>
      </w:r>
      <w:r>
        <w:rPr>
          <w:color w:val="595959"/>
          <w:sz w:val="26"/>
        </w:rPr>
        <w:t>The WJCC School District is collecting community feedback on the maps of the proposed school attendance zones through a survey.</w:t>
      </w:r>
    </w:p>
    <w:p>
      <w:pPr>
        <w:spacing w:line="240" w:lineRule="auto" w:before="117"/>
        <w:ind w:left="119" w:right="494" w:firstLine="0"/>
        <w:jc w:val="left"/>
        <w:rPr>
          <w:sz w:val="26"/>
        </w:rPr>
      </w:pPr>
      <w:r>
        <w:rPr>
          <w:color w:val="595959"/>
          <w:sz w:val="26"/>
        </w:rPr>
        <w:t>It is important to urge the school board to prioritize diversity and equity during redistricting. You can make your voice heard by:</w:t>
      </w:r>
    </w:p>
    <w:p>
      <w:pPr>
        <w:pStyle w:val="ListParagraph"/>
        <w:numPr>
          <w:ilvl w:val="0"/>
          <w:numId w:val="2"/>
        </w:numPr>
        <w:tabs>
          <w:tab w:pos="405" w:val="left" w:leader="none"/>
        </w:tabs>
        <w:spacing w:line="242" w:lineRule="auto" w:before="210" w:after="0"/>
        <w:ind w:left="119" w:right="107" w:firstLine="0"/>
        <w:jc w:val="left"/>
        <w:rPr>
          <w:b/>
          <w:sz w:val="26"/>
        </w:rPr>
      </w:pPr>
      <w:r>
        <w:rPr>
          <w:b/>
          <w:sz w:val="26"/>
        </w:rPr>
        <w:t>Completing the School Board’s online survey. </w:t>
      </w:r>
      <w:r>
        <w:rPr>
          <w:color w:val="595959"/>
          <w:sz w:val="26"/>
        </w:rPr>
        <w:t>The maps and survey will be made available on November 28 at</w:t>
      </w:r>
      <w:r>
        <w:rPr>
          <w:sz w:val="26"/>
        </w:rPr>
        <w:t> </w:t>
      </w:r>
      <w:r>
        <w:rPr>
          <w:b/>
          <w:w w:val="95"/>
          <w:sz w:val="26"/>
        </w:rPr>
        <w:t>wjccschools.org/redistricting.</w:t>
      </w:r>
    </w:p>
    <w:p>
      <w:pPr>
        <w:pStyle w:val="BodyText"/>
        <w:spacing w:before="11"/>
        <w:rPr>
          <w:b/>
          <w:sz w:val="27"/>
        </w:rPr>
      </w:pPr>
    </w:p>
    <w:p>
      <w:pPr>
        <w:pStyle w:val="ListParagraph"/>
        <w:numPr>
          <w:ilvl w:val="0"/>
          <w:numId w:val="2"/>
        </w:numPr>
        <w:tabs>
          <w:tab w:pos="403" w:val="left" w:leader="none"/>
        </w:tabs>
        <w:spacing w:line="247" w:lineRule="auto" w:before="0" w:after="0"/>
        <w:ind w:left="119" w:right="114" w:firstLine="0"/>
        <w:jc w:val="left"/>
        <w:rPr>
          <w:sz w:val="26"/>
        </w:rPr>
      </w:pPr>
      <w:r>
        <w:rPr>
          <w:b/>
          <w:sz w:val="26"/>
        </w:rPr>
        <w:t>Joining us at the School Board meeting on December 12 </w:t>
      </w:r>
      <w:r>
        <w:rPr>
          <w:color w:val="404040"/>
          <w:sz w:val="26"/>
        </w:rPr>
        <w:t>at 6:30pm at the </w:t>
      </w:r>
      <w:r>
        <w:rPr>
          <w:color w:val="333333"/>
          <w:sz w:val="26"/>
        </w:rPr>
        <w:t>School Board &amp; Central Office Annex, Rm. 300, 117 Ironbound</w:t>
      </w:r>
      <w:r>
        <w:rPr>
          <w:color w:val="333333"/>
          <w:spacing w:val="-4"/>
          <w:sz w:val="26"/>
        </w:rPr>
        <w:t> </w:t>
      </w:r>
      <w:r>
        <w:rPr>
          <w:color w:val="333333"/>
          <w:sz w:val="26"/>
        </w:rPr>
        <w:t>Rd.</w:t>
      </w:r>
    </w:p>
    <w:p>
      <w:pPr>
        <w:spacing w:line="235" w:lineRule="auto" w:before="208"/>
        <w:ind w:left="119" w:right="671" w:firstLine="0"/>
        <w:jc w:val="left"/>
        <w:rPr>
          <w:b/>
          <w:sz w:val="26"/>
        </w:rPr>
      </w:pPr>
      <w:r>
        <w:rPr>
          <w:b/>
          <w:sz w:val="26"/>
        </w:rPr>
        <w:t>Do you need a ride to the School Board Meeting?</w:t>
      </w:r>
    </w:p>
    <w:p>
      <w:pPr>
        <w:spacing w:before="204"/>
        <w:ind w:left="119" w:right="1136" w:firstLine="0"/>
        <w:jc w:val="left"/>
        <w:rPr>
          <w:b/>
          <w:sz w:val="26"/>
        </w:rPr>
      </w:pPr>
      <w:r>
        <w:rPr>
          <w:b/>
          <w:sz w:val="26"/>
        </w:rPr>
        <w:t>Would you like more information?</w:t>
      </w:r>
    </w:p>
    <w:p>
      <w:pPr>
        <w:spacing w:line="252" w:lineRule="auto" w:before="221"/>
        <w:ind w:left="119" w:right="1053" w:firstLine="0"/>
        <w:jc w:val="left"/>
        <w:rPr>
          <w:sz w:val="24"/>
        </w:rPr>
      </w:pPr>
      <w:r>
        <w:rPr>
          <w:sz w:val="24"/>
        </w:rPr>
        <w:t>Contact </w:t>
      </w:r>
      <w:r>
        <w:rPr>
          <w:b/>
          <w:sz w:val="24"/>
        </w:rPr>
        <w:t>The Village Initiative, </w:t>
      </w:r>
      <w:r>
        <w:rPr>
          <w:sz w:val="24"/>
        </w:rPr>
        <w:t>757-713-2543</w:t>
      </w:r>
    </w:p>
    <w:p>
      <w:pPr>
        <w:pStyle w:val="BodyText"/>
        <w:rPr>
          <w:sz w:val="24"/>
        </w:rPr>
      </w:pPr>
    </w:p>
    <w:p>
      <w:pPr>
        <w:spacing w:line="244" w:lineRule="auto" w:before="0"/>
        <w:ind w:left="119" w:right="592" w:firstLine="0"/>
        <w:jc w:val="left"/>
        <w:rPr>
          <w:sz w:val="24"/>
        </w:rPr>
      </w:pPr>
      <w:r>
        <w:rPr>
          <w:b/>
          <w:sz w:val="24"/>
        </w:rPr>
        <w:t>The Village Initiative </w:t>
      </w:r>
      <w:r>
        <w:rPr>
          <w:sz w:val="24"/>
        </w:rPr>
        <w:t>is a grassroots organization devoted to closing the achievement gap and ending the school-to-prison pipeline.</w:t>
      </w:r>
    </w:p>
    <w:p>
      <w:pPr>
        <w:spacing w:after="0" w:line="244" w:lineRule="auto"/>
        <w:jc w:val="left"/>
        <w:rPr>
          <w:sz w:val="24"/>
        </w:rPr>
        <w:sectPr>
          <w:type w:val="continuous"/>
          <w:pgSz w:w="12240" w:h="15840"/>
          <w:pgMar w:top="580" w:bottom="280" w:left="440" w:right="600"/>
          <w:cols w:num="2" w:equalWidth="0">
            <w:col w:w="7221" w:space="301"/>
            <w:col w:w="3678"/>
          </w:cols>
        </w:sectPr>
      </w:pPr>
    </w:p>
    <w:sectPr>
      <w:type w:val="continuous"/>
      <w:pgSz w:w="12240" w:h="15840"/>
      <w:pgMar w:top="580" w:bottom="280" w:left="44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sto MT">
    <w:altName w:val="Calisto MT"/>
    <w:charset w:val="0"/>
    <w:family w:val="roman"/>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119" w:hanging="286"/>
        <w:jc w:val="left"/>
      </w:pPr>
      <w:rPr>
        <w:rFonts w:hint="default"/>
        <w:b/>
        <w:bCs/>
        <w:w w:val="99"/>
      </w:rPr>
    </w:lvl>
    <w:lvl w:ilvl="1">
      <w:start w:val="0"/>
      <w:numFmt w:val="bullet"/>
      <w:lvlText w:val="•"/>
      <w:lvlJc w:val="left"/>
      <w:pPr>
        <w:ind w:left="475" w:hanging="286"/>
      </w:pPr>
      <w:rPr>
        <w:rFonts w:hint="default"/>
      </w:rPr>
    </w:lvl>
    <w:lvl w:ilvl="2">
      <w:start w:val="0"/>
      <w:numFmt w:val="bullet"/>
      <w:lvlText w:val="•"/>
      <w:lvlJc w:val="left"/>
      <w:pPr>
        <w:ind w:left="831" w:hanging="286"/>
      </w:pPr>
      <w:rPr>
        <w:rFonts w:hint="default"/>
      </w:rPr>
    </w:lvl>
    <w:lvl w:ilvl="3">
      <w:start w:val="0"/>
      <w:numFmt w:val="bullet"/>
      <w:lvlText w:val="•"/>
      <w:lvlJc w:val="left"/>
      <w:pPr>
        <w:ind w:left="1187" w:hanging="286"/>
      </w:pPr>
      <w:rPr>
        <w:rFonts w:hint="default"/>
      </w:rPr>
    </w:lvl>
    <w:lvl w:ilvl="4">
      <w:start w:val="0"/>
      <w:numFmt w:val="bullet"/>
      <w:lvlText w:val="•"/>
      <w:lvlJc w:val="left"/>
      <w:pPr>
        <w:ind w:left="1543" w:hanging="286"/>
      </w:pPr>
      <w:rPr>
        <w:rFonts w:hint="default"/>
      </w:rPr>
    </w:lvl>
    <w:lvl w:ilvl="5">
      <w:start w:val="0"/>
      <w:numFmt w:val="bullet"/>
      <w:lvlText w:val="•"/>
      <w:lvlJc w:val="left"/>
      <w:pPr>
        <w:ind w:left="1899" w:hanging="286"/>
      </w:pPr>
      <w:rPr>
        <w:rFonts w:hint="default"/>
      </w:rPr>
    </w:lvl>
    <w:lvl w:ilvl="6">
      <w:start w:val="0"/>
      <w:numFmt w:val="bullet"/>
      <w:lvlText w:val="•"/>
      <w:lvlJc w:val="left"/>
      <w:pPr>
        <w:ind w:left="2255" w:hanging="286"/>
      </w:pPr>
      <w:rPr>
        <w:rFonts w:hint="default"/>
      </w:rPr>
    </w:lvl>
    <w:lvl w:ilvl="7">
      <w:start w:val="0"/>
      <w:numFmt w:val="bullet"/>
      <w:lvlText w:val="•"/>
      <w:lvlJc w:val="left"/>
      <w:pPr>
        <w:ind w:left="2610" w:hanging="286"/>
      </w:pPr>
      <w:rPr>
        <w:rFonts w:hint="default"/>
      </w:rPr>
    </w:lvl>
    <w:lvl w:ilvl="8">
      <w:start w:val="0"/>
      <w:numFmt w:val="bullet"/>
      <w:lvlText w:val="•"/>
      <w:lvlJc w:val="left"/>
      <w:pPr>
        <w:ind w:left="2966" w:hanging="286"/>
      </w:pPr>
      <w:rPr>
        <w:rFonts w:hint="default"/>
      </w:rPr>
    </w:lvl>
  </w:abstractNum>
  <w:abstractNum w:abstractNumId="0">
    <w:multiLevelType w:val="hybridMultilevel"/>
    <w:lvl w:ilvl="0">
      <w:start w:val="0"/>
      <w:numFmt w:val="bullet"/>
      <w:lvlText w:val=""/>
      <w:lvlJc w:val="left"/>
      <w:pPr>
        <w:ind w:left="853" w:hanging="360"/>
      </w:pPr>
      <w:rPr>
        <w:rFonts w:hint="default"/>
        <w:w w:val="103"/>
      </w:rPr>
    </w:lvl>
    <w:lvl w:ilvl="1">
      <w:start w:val="0"/>
      <w:numFmt w:val="bullet"/>
      <w:lvlText w:val="•"/>
      <w:lvlJc w:val="left"/>
      <w:pPr>
        <w:ind w:left="1496" w:hanging="360"/>
      </w:pPr>
      <w:rPr>
        <w:rFonts w:hint="default"/>
      </w:rPr>
    </w:lvl>
    <w:lvl w:ilvl="2">
      <w:start w:val="0"/>
      <w:numFmt w:val="bullet"/>
      <w:lvlText w:val="•"/>
      <w:lvlJc w:val="left"/>
      <w:pPr>
        <w:ind w:left="2132" w:hanging="360"/>
      </w:pPr>
      <w:rPr>
        <w:rFonts w:hint="default"/>
      </w:rPr>
    </w:lvl>
    <w:lvl w:ilvl="3">
      <w:start w:val="0"/>
      <w:numFmt w:val="bullet"/>
      <w:lvlText w:val="•"/>
      <w:lvlJc w:val="left"/>
      <w:pPr>
        <w:ind w:left="2768" w:hanging="360"/>
      </w:pPr>
      <w:rPr>
        <w:rFonts w:hint="default"/>
      </w:rPr>
    </w:lvl>
    <w:lvl w:ilvl="4">
      <w:start w:val="0"/>
      <w:numFmt w:val="bullet"/>
      <w:lvlText w:val="•"/>
      <w:lvlJc w:val="left"/>
      <w:pPr>
        <w:ind w:left="3404" w:hanging="360"/>
      </w:pPr>
      <w:rPr>
        <w:rFonts w:hint="default"/>
      </w:rPr>
    </w:lvl>
    <w:lvl w:ilvl="5">
      <w:start w:val="0"/>
      <w:numFmt w:val="bullet"/>
      <w:lvlText w:val="•"/>
      <w:lvlJc w:val="left"/>
      <w:pPr>
        <w:ind w:left="4040" w:hanging="360"/>
      </w:pPr>
      <w:rPr>
        <w:rFonts w:hint="default"/>
      </w:rPr>
    </w:lvl>
    <w:lvl w:ilvl="6">
      <w:start w:val="0"/>
      <w:numFmt w:val="bullet"/>
      <w:lvlText w:val="•"/>
      <w:lvlJc w:val="left"/>
      <w:pPr>
        <w:ind w:left="4676" w:hanging="360"/>
      </w:pPr>
      <w:rPr>
        <w:rFonts w:hint="default"/>
      </w:rPr>
    </w:lvl>
    <w:lvl w:ilvl="7">
      <w:start w:val="0"/>
      <w:numFmt w:val="bullet"/>
      <w:lvlText w:val="•"/>
      <w:lvlJc w:val="left"/>
      <w:pPr>
        <w:ind w:left="5312" w:hanging="360"/>
      </w:pPr>
      <w:rPr>
        <w:rFonts w:hint="default"/>
      </w:rPr>
    </w:lvl>
    <w:lvl w:ilvl="8">
      <w:start w:val="0"/>
      <w:numFmt w:val="bullet"/>
      <w:lvlText w:val="•"/>
      <w:lvlJc w:val="left"/>
      <w:pPr>
        <w:ind w:left="5948" w:hanging="360"/>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sto MT" w:hAnsi="Calisto MT" w:eastAsia="Calisto MT" w:cs="Calisto MT"/>
    </w:rPr>
  </w:style>
  <w:style w:styleId="BodyText" w:type="paragraph">
    <w:name w:val="Body Text"/>
    <w:basedOn w:val="Normal"/>
    <w:uiPriority w:val="1"/>
    <w:qFormat/>
    <w:pPr/>
    <w:rPr>
      <w:rFonts w:ascii="Calisto MT" w:hAnsi="Calisto MT" w:eastAsia="Calisto MT" w:cs="Calisto MT"/>
      <w:sz w:val="19"/>
      <w:szCs w:val="19"/>
    </w:rPr>
  </w:style>
  <w:style w:styleId="Heading1" w:type="paragraph">
    <w:name w:val="Heading 1"/>
    <w:basedOn w:val="Normal"/>
    <w:uiPriority w:val="1"/>
    <w:qFormat/>
    <w:pPr>
      <w:spacing w:before="1"/>
      <w:ind w:left="133"/>
      <w:outlineLvl w:val="1"/>
    </w:pPr>
    <w:rPr>
      <w:rFonts w:ascii="Calisto MT" w:hAnsi="Calisto MT" w:eastAsia="Calisto MT" w:cs="Calisto MT"/>
      <w:b/>
      <w:bCs/>
      <w:sz w:val="28"/>
      <w:szCs w:val="28"/>
    </w:rPr>
  </w:style>
  <w:style w:styleId="ListParagraph" w:type="paragraph">
    <w:name w:val="List Paragraph"/>
    <w:basedOn w:val="Normal"/>
    <w:uiPriority w:val="1"/>
    <w:qFormat/>
    <w:pPr>
      <w:ind w:left="853" w:hanging="360"/>
    </w:pPr>
    <w:rPr>
      <w:rFonts w:ascii="Calisto MT" w:hAnsi="Calisto MT" w:eastAsia="Calisto MT" w:cs="Calisto MT"/>
    </w:rPr>
  </w:style>
  <w:style w:styleId="TableParagraph" w:type="paragraph">
    <w:name w:val="Table Paragraph"/>
    <w:basedOn w:val="Normal"/>
    <w:uiPriority w:val="1"/>
    <w:qFormat/>
    <w:pPr>
      <w:spacing w:before="6" w:line="204" w:lineRule="exact"/>
      <w:ind w:left="249"/>
    </w:pPr>
    <w:rPr>
      <w:rFonts w:ascii="Calisto MT" w:hAnsi="Calisto MT" w:eastAsia="Calisto MT" w:cs="Calisto MT"/>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Redistricting one pager-for churches.docx</dc:title>
  <dcterms:created xsi:type="dcterms:W3CDTF">2018-01-16T17:43:12Z</dcterms:created>
  <dcterms:modified xsi:type="dcterms:W3CDTF">2018-01-16T17:43:12Z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2017-11-22T00:00:00Z</vt:filetime>
  </property>
  <property fmtid="{D5CDD505-2E9C-101B-9397-08002B2CF9AE}" pid="3" name="Creator">
    <vt:lpwstr>Word</vt:lpwstr>
  </property>
  <property fmtid="{D5CDD505-2E9C-101B-9397-08002B2CF9AE}" pid="4" name="LastSaved">
    <vt:filetime>2018-01-16T00:00:00Z</vt:filetime>
  </property>
</Properties>
</file>